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91169E" w:rsidP="00973E1E">
            <w:pPr>
              <w:rPr>
                <w:rFonts w:ascii="Times New Roman" w:hAnsi="Times New Roman" w:cs="Times New Roman"/>
                <w:b/>
                <w:bCs/>
                <w:lang w:val="en-GB"/>
              </w:rPr>
            </w:pPr>
            <w:r w:rsidRPr="0091169E">
              <w:rPr>
                <w:rFonts w:ascii="Times New Roman" w:hAnsi="Times New Roman" w:cs="Times New Roman"/>
                <w:b/>
                <w:bCs/>
                <w:lang w:val="en-GB"/>
              </w:rPr>
              <w:t>SUPPLY COMPUTER HARDWARE INCLUDING MAINTENANCE AND SUPPORT OF RELATED EQUIPMENT</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sidR="0091169E">
              <w:rPr>
                <w:rFonts w:ascii="Times New Roman" w:hAnsi="Times New Roman" w:cs="Times New Roman"/>
                <w:b/>
                <w:bCs/>
                <w:lang w:val="en-GB"/>
              </w:rPr>
              <w:t>62</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91169E" w:rsidP="001B7CEF">
            <w:pPr>
              <w:jc w:val="both"/>
              <w:rPr>
                <w:rFonts w:ascii="Times New Roman" w:hAnsi="Times New Roman" w:cs="Times New Roman"/>
                <w:b/>
                <w:bCs/>
                <w:lang w:val="en-GB"/>
              </w:rPr>
            </w:pPr>
            <w:r>
              <w:rPr>
                <w:rFonts w:ascii="Times New Roman" w:hAnsi="Times New Roman" w:cs="Times New Roman"/>
                <w:b/>
                <w:bCs/>
                <w:lang w:val="en-GB"/>
              </w:rPr>
              <w:t>03</w:t>
            </w:r>
            <w:r w:rsidR="00000F6F">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1</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91169E" w:rsidP="00B0417E">
            <w:pPr>
              <w:jc w:val="both"/>
              <w:rPr>
                <w:rFonts w:ascii="Times New Roman" w:hAnsi="Times New Roman" w:cs="Times New Roman"/>
                <w:b/>
                <w:bCs/>
                <w:lang w:val="en-GB"/>
              </w:rPr>
            </w:pPr>
            <w:r>
              <w:rPr>
                <w:rFonts w:ascii="Times New Roman" w:hAnsi="Times New Roman" w:cs="Times New Roman"/>
                <w:b/>
                <w:bCs/>
                <w:lang w:val="en-GB"/>
              </w:rPr>
              <w:t>04</w:t>
            </w:r>
            <w:r w:rsidR="007C5BD9" w:rsidRPr="0089652C">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2</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91169E" w:rsidP="001B7CEF">
            <w:pPr>
              <w:jc w:val="both"/>
              <w:rPr>
                <w:rFonts w:ascii="Times New Roman" w:hAnsi="Times New Roman" w:cs="Times New Roman"/>
                <w:b/>
                <w:bCs/>
                <w:lang w:val="en-GB"/>
              </w:rPr>
            </w:pPr>
            <w:r>
              <w:rPr>
                <w:rFonts w:ascii="Times New Roman" w:hAnsi="Times New Roman" w:cs="Times New Roman"/>
                <w:b/>
                <w:bCs/>
                <w:lang w:val="en-GB"/>
              </w:rPr>
              <w:t>07</w:t>
            </w:r>
            <w:r w:rsidR="007C5BD9" w:rsidRPr="0089652C">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1</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BA68AB" w:rsidRPr="00195A85" w:rsidRDefault="00BA68AB"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5C124C">
                    <w:rPr>
                      <w:rFonts w:ascii="Times New Roman" w:eastAsia="Calibri" w:hAnsi="Times New Roman" w:cs="Times New Roman"/>
                      <w:lang w:eastAsia="en-ZA"/>
                    </w:rPr>
                    <w:t>9</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625EBD" w:rsidP="00495055">
                        <w:pPr>
                          <w:rPr>
                            <w:rFonts w:ascii="Times New Roman" w:hAnsi="Times New Roman" w:cs="Times New Roman"/>
                            <w:lang w:val="en-GB"/>
                          </w:rPr>
                        </w:pPr>
                        <w:r>
                          <w:rPr>
                            <w:rFonts w:ascii="Times New Roman" w:hAnsi="Times New Roman" w:cs="Times New Roman"/>
                            <w:lang w:val="en-GB"/>
                          </w:rPr>
                          <w:t>5</w:t>
                        </w:r>
                        <w:r w:rsidR="005C124C">
                          <w:rPr>
                            <w:rFonts w:ascii="Times New Roman" w:hAnsi="Times New Roman" w:cs="Times New Roman"/>
                            <w:lang w:val="en-GB"/>
                          </w:rPr>
                          <w:t>0</w:t>
                        </w:r>
                      </w:p>
                    </w:tc>
                  </w:tr>
                  <w:tr w:rsidR="00625EBD" w:rsidRPr="00410CA8" w:rsidTr="005C124C">
                    <w:tc>
                      <w:tcPr>
                        <w:tcW w:w="5587" w:type="dxa"/>
                      </w:tcPr>
                      <w:p w:rsidR="00625EBD" w:rsidRPr="00410CA8" w:rsidRDefault="00625EBD" w:rsidP="00495055">
                        <w:pPr>
                          <w:rPr>
                            <w:rFonts w:ascii="Times New Roman" w:hAnsi="Times New Roman" w:cs="Times New Roman"/>
                            <w:lang w:val="en-GB"/>
                          </w:rPr>
                        </w:pPr>
                        <w:r>
                          <w:rPr>
                            <w:rFonts w:ascii="Times New Roman" w:hAnsi="Times New Roman" w:cs="Times New Roman"/>
                            <w:lang w:val="en-GB"/>
                          </w:rPr>
                          <w:t>Partnership</w:t>
                        </w:r>
                      </w:p>
                    </w:tc>
                    <w:tc>
                      <w:tcPr>
                        <w:tcW w:w="4678" w:type="dxa"/>
                      </w:tcPr>
                      <w:p w:rsidR="00625EBD" w:rsidRDefault="00625EBD" w:rsidP="00495055">
                        <w:pPr>
                          <w:rPr>
                            <w:rFonts w:ascii="Times New Roman" w:hAnsi="Times New Roman" w:cs="Times New Roman"/>
                            <w:lang w:val="en-GB"/>
                          </w:rPr>
                        </w:pPr>
                        <w:r>
                          <w:rPr>
                            <w:rFonts w:ascii="Times New Roman" w:hAnsi="Times New Roman" w:cs="Times New Roman"/>
                            <w:lang w:val="en-GB"/>
                          </w:rPr>
                          <w:t>25</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Key personnel</w:t>
                        </w:r>
                        <w:r w:rsidR="00BA68AB">
                          <w:rPr>
                            <w:rFonts w:ascii="Times New Roman" w:hAnsi="Times New Roman" w:cs="Times New Roman"/>
                            <w:lang w:val="en-GB"/>
                          </w:rPr>
                          <w:t xml:space="preserve"> </w:t>
                        </w:r>
                      </w:p>
                    </w:tc>
                    <w:tc>
                      <w:tcPr>
                        <w:tcW w:w="4678" w:type="dxa"/>
                      </w:tcPr>
                      <w:p w:rsidR="005C124C" w:rsidRPr="00410CA8" w:rsidRDefault="00625EBD" w:rsidP="00495055">
                        <w:pPr>
                          <w:rPr>
                            <w:rFonts w:ascii="Times New Roman" w:hAnsi="Times New Roman" w:cs="Times New Roman"/>
                            <w:lang w:val="en-GB"/>
                          </w:rPr>
                        </w:pPr>
                        <w:r>
                          <w:rPr>
                            <w:rFonts w:ascii="Times New Roman" w:hAnsi="Times New Roman" w:cs="Times New Roman"/>
                            <w:lang w:val="en-GB"/>
                          </w:rPr>
                          <w:t>15</w:t>
                        </w:r>
                      </w:p>
                    </w:tc>
                  </w:tr>
                  <w:tr w:rsidR="00625EBD" w:rsidRPr="00410CA8" w:rsidTr="005C124C">
                    <w:tc>
                      <w:tcPr>
                        <w:tcW w:w="5587" w:type="dxa"/>
                      </w:tcPr>
                      <w:p w:rsidR="00625EBD" w:rsidRDefault="00625EBD" w:rsidP="00495055">
                        <w:pPr>
                          <w:rPr>
                            <w:rFonts w:ascii="Times New Roman" w:hAnsi="Times New Roman" w:cs="Times New Roman"/>
                            <w:lang w:val="en-GB"/>
                          </w:rPr>
                        </w:pPr>
                        <w:r>
                          <w:rPr>
                            <w:rFonts w:ascii="Times New Roman" w:hAnsi="Times New Roman" w:cs="Times New Roman"/>
                            <w:lang w:val="en-GB"/>
                          </w:rPr>
                          <w:t>Methodology</w:t>
                        </w:r>
                      </w:p>
                    </w:tc>
                    <w:tc>
                      <w:tcPr>
                        <w:tcW w:w="4678" w:type="dxa"/>
                      </w:tcPr>
                      <w:p w:rsidR="00625EBD" w:rsidRDefault="00625EBD" w:rsidP="00495055">
                        <w:pPr>
                          <w:rPr>
                            <w:rFonts w:ascii="Times New Roman" w:hAnsi="Times New Roman" w:cs="Times New Roman"/>
                            <w:lang w:val="en-GB"/>
                          </w:rPr>
                        </w:pPr>
                        <w:r>
                          <w:rPr>
                            <w:rFonts w:ascii="Times New Roman" w:hAnsi="Times New Roman" w:cs="Times New Roman"/>
                            <w:lang w:val="en-GB"/>
                          </w:rPr>
                          <w:t>10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BA68AB"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BA68AB">
                    <w:rPr>
                      <w:rFonts w:ascii="Times New Roman" w:hAnsi="Times New Roman" w:cs="Times New Roman"/>
                      <w:iCs/>
                      <w:lang w:val="en-GB"/>
                    </w:rPr>
                    <w:t>r. B Matubatuba</w:t>
                  </w:r>
                  <w:r w:rsidRPr="0089652C">
                    <w:rPr>
                      <w:rFonts w:ascii="Times New Roman" w:hAnsi="Times New Roman" w:cs="Times New Roman"/>
                      <w:iCs/>
                      <w:lang w:val="en-GB"/>
                    </w:rPr>
                    <w:t xml:space="preserve">, e-mail: </w:t>
                  </w:r>
                  <w:r w:rsidR="00BA68AB">
                    <w:rPr>
                      <w:rFonts w:ascii="Times New Roman" w:hAnsi="Times New Roman" w:cs="Times New Roman"/>
                      <w:iCs/>
                      <w:lang w:val="en-GB"/>
                    </w:rPr>
                    <w:t>BMatubatuba</w:t>
                  </w:r>
                  <w:r w:rsidRPr="0089652C">
                    <w:rPr>
                      <w:rFonts w:ascii="Times New Roman" w:hAnsi="Times New Roman" w:cs="Times New Roman"/>
                      <w:iCs/>
                      <w:lang w:val="en-GB"/>
                    </w:rPr>
                    <w:t>@matatiele.gov.za during office hours</w:t>
                  </w:r>
                  <w:bookmarkStart w:id="0" w:name="_GoBack"/>
                  <w:bookmarkEnd w:id="0"/>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052"/>
    <w:rsid w:val="00366444"/>
    <w:rsid w:val="00382C8D"/>
    <w:rsid w:val="003A4E3E"/>
    <w:rsid w:val="003B2274"/>
    <w:rsid w:val="003D18E6"/>
    <w:rsid w:val="003D6A67"/>
    <w:rsid w:val="003F64F4"/>
    <w:rsid w:val="004136D1"/>
    <w:rsid w:val="00414285"/>
    <w:rsid w:val="00422C64"/>
    <w:rsid w:val="00424384"/>
    <w:rsid w:val="004617F3"/>
    <w:rsid w:val="00492D3E"/>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25EBD"/>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1169E"/>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8AB"/>
    <w:rsid w:val="00BD0A2F"/>
    <w:rsid w:val="00BD1925"/>
    <w:rsid w:val="00BD71A5"/>
    <w:rsid w:val="00C0731C"/>
    <w:rsid w:val="00C6341F"/>
    <w:rsid w:val="00C637B8"/>
    <w:rsid w:val="00C6489C"/>
    <w:rsid w:val="00C6759F"/>
    <w:rsid w:val="00C77A27"/>
    <w:rsid w:val="00C818FC"/>
    <w:rsid w:val="00C90606"/>
    <w:rsid w:val="00C95141"/>
    <w:rsid w:val="00CB293A"/>
    <w:rsid w:val="00CB5590"/>
    <w:rsid w:val="00CB7524"/>
    <w:rsid w:val="00CC499F"/>
    <w:rsid w:val="00CF6B37"/>
    <w:rsid w:val="00D16E03"/>
    <w:rsid w:val="00D16E67"/>
    <w:rsid w:val="00D17CC6"/>
    <w:rsid w:val="00D2333F"/>
    <w:rsid w:val="00D26045"/>
    <w:rsid w:val="00D60491"/>
    <w:rsid w:val="00D770F6"/>
    <w:rsid w:val="00DC7214"/>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0C13"/>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750CE3"/>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A3AA-5E60-488B-8FF2-FDF0FBB6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2023-10-03T08:32:00Z</cp:lastPrinted>
  <dcterms:created xsi:type="dcterms:W3CDTF">2023-11-01T07:20:00Z</dcterms:created>
  <dcterms:modified xsi:type="dcterms:W3CDTF">2023-11-01T07:20:00Z</dcterms:modified>
</cp:coreProperties>
</file>